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53" w:rsidRDefault="008636B8" w:rsidP="00E11D85">
      <w:pPr>
        <w:jc w:val="center"/>
        <w:rPr>
          <w:sz w:val="22"/>
          <w:szCs w:val="22"/>
        </w:rPr>
      </w:pPr>
      <w:r>
        <w:rPr>
          <w:noProof/>
        </w:rPr>
        <mc:AlternateContent>
          <mc:Choice Requires="wps">
            <w:drawing>
              <wp:anchor distT="0" distB="0" distL="114300" distR="114300" simplePos="0" relativeHeight="251659264" behindDoc="0" locked="0" layoutInCell="1" allowOverlap="1" wp14:anchorId="4A86A122" wp14:editId="29E0836C">
                <wp:simplePos x="0" y="0"/>
                <wp:positionH relativeFrom="column">
                  <wp:posOffset>5019675</wp:posOffset>
                </wp:positionH>
                <wp:positionV relativeFrom="paragraph">
                  <wp:posOffset>-514350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636B8" w:rsidRPr="00BB51AD" w:rsidRDefault="008636B8" w:rsidP="008636B8">
                            <w:pPr>
                              <w:rPr>
                                <w:rFonts w:asciiTheme="majorEastAsia" w:eastAsiaTheme="majorEastAsia" w:hAnsiTheme="majorEastAsia"/>
                                <w:b/>
                                <w:color w:val="000000" w:themeColor="text1"/>
                                <w:spacing w:val="0"/>
                                <w:sz w:val="28"/>
                                <w:szCs w:val="28"/>
                                <w:bdr w:val="single" w:sz="4" w:space="0" w:color="auto"/>
                                <w14:textOutline w14:w="0" w14:cap="flat" w14:cmpd="sng" w14:algn="ctr">
                                  <w14:noFill/>
                                  <w14:prstDash w14:val="solid"/>
                                  <w14:round/>
                                </w14:textOutline>
                              </w:rPr>
                            </w:pPr>
                            <w:r w:rsidRPr="00BB51AD">
                              <w:rPr>
                                <w:rFonts w:asciiTheme="majorEastAsia" w:eastAsiaTheme="majorEastAsia" w:hAnsiTheme="majorEastAsia" w:hint="eastAsia"/>
                                <w:b/>
                                <w:color w:val="000000" w:themeColor="text1"/>
                                <w:spacing w:val="0"/>
                                <w:sz w:val="28"/>
                                <w:szCs w:val="28"/>
                                <w:bdr w:val="single" w:sz="4" w:space="0" w:color="auto"/>
                                <w14:textOutline w14:w="0" w14:cap="flat" w14:cmpd="sng" w14:algn="ctr">
                                  <w14:noFill/>
                                  <w14:prstDash w14:val="solid"/>
                                  <w14:round/>
                                </w14:textOutline>
                              </w:rPr>
                              <w:t>資料</w:t>
                            </w:r>
                            <w:r w:rsidRPr="00BB51AD">
                              <w:rPr>
                                <w:rFonts w:asciiTheme="majorEastAsia" w:eastAsiaTheme="majorEastAsia" w:hAnsiTheme="majorEastAsia"/>
                                <w:b/>
                                <w:color w:val="000000" w:themeColor="text1"/>
                                <w:spacing w:val="0"/>
                                <w:sz w:val="28"/>
                                <w:szCs w:val="28"/>
                                <w:bdr w:val="single" w:sz="4" w:space="0" w:color="auto"/>
                                <w14:textOutline w14:w="0" w14:cap="flat" w14:cmpd="sng" w14:algn="ctr">
                                  <w14:noFill/>
                                  <w14:prstDash w14:val="solid"/>
                                  <w14:round/>
                                </w14:textOutline>
                              </w:rPr>
                              <w:t>１－２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A86A122" id="_x0000_t202" coordsize="21600,21600" o:spt="202" path="m,l,21600r21600,l21600,xe">
                <v:stroke joinstyle="miter"/>
                <v:path gradientshapeok="t" o:connecttype="rect"/>
              </v:shapetype>
              <v:shape id="テキスト ボックス 1" o:spid="_x0000_s1026" type="#_x0000_t202" style="position:absolute;left:0;text-align:left;margin-left:395.25pt;margin-top:-4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" filled="f" stroked="f">
                <v:textbox style="mso-fit-shape-to-text:t" inset="5.85pt,.7pt,5.85pt,.7pt">
                  <w:txbxContent>
                    <w:p w:rsidR="008636B8" w:rsidRPr="00BB51AD" w:rsidRDefault="008636B8" w:rsidP="008636B8">
                      <w:pPr>
                        <w:rPr>
                          <w:rFonts w:asciiTheme="majorEastAsia" w:eastAsiaTheme="majorEastAsia" w:hAnsiTheme="majorEastAsia"/>
                          <w:b/>
                          <w:color w:val="000000" w:themeColor="text1"/>
                          <w:spacing w:val="0"/>
                          <w:sz w:val="28"/>
                          <w:szCs w:val="28"/>
                          <w:bdr w:val="single" w:sz="4" w:space="0" w:color="auto"/>
                          <w14:textOutline w14:w="0" w14:cap="flat" w14:cmpd="sng" w14:algn="ctr">
                            <w14:noFill/>
                            <w14:prstDash w14:val="solid"/>
                            <w14:round/>
                          </w14:textOutline>
                        </w:rPr>
                      </w:pPr>
                      <w:r w:rsidRPr="00BB51AD">
                        <w:rPr>
                          <w:rFonts w:asciiTheme="majorEastAsia" w:eastAsiaTheme="majorEastAsia" w:hAnsiTheme="majorEastAsia" w:hint="eastAsia"/>
                          <w:b/>
                          <w:color w:val="000000" w:themeColor="text1"/>
                          <w:spacing w:val="0"/>
                          <w:sz w:val="28"/>
                          <w:szCs w:val="28"/>
                          <w:bdr w:val="single" w:sz="4" w:space="0" w:color="auto"/>
                          <w14:textOutline w14:w="0" w14:cap="flat" w14:cmpd="sng" w14:algn="ctr">
                            <w14:noFill/>
                            <w14:prstDash w14:val="solid"/>
                            <w14:round/>
                          </w14:textOutline>
                        </w:rPr>
                        <w:t>資料</w:t>
                      </w:r>
                      <w:r w:rsidRPr="00BB51AD">
                        <w:rPr>
                          <w:rFonts w:asciiTheme="majorEastAsia" w:eastAsiaTheme="majorEastAsia" w:hAnsiTheme="majorEastAsia"/>
                          <w:b/>
                          <w:color w:val="000000" w:themeColor="text1"/>
                          <w:spacing w:val="0"/>
                          <w:sz w:val="28"/>
                          <w:szCs w:val="28"/>
                          <w:bdr w:val="single" w:sz="4" w:space="0" w:color="auto"/>
                          <w14:textOutline w14:w="0" w14:cap="flat" w14:cmpd="sng" w14:algn="ctr">
                            <w14:noFill/>
                            <w14:prstDash w14:val="solid"/>
                            <w14:round/>
                          </w14:textOutline>
                        </w:rPr>
                        <w:t>１－２</w:t>
                      </w:r>
                    </w:p>
                  </w:txbxContent>
                </v:textbox>
              </v:shape>
            </w:pict>
          </mc:Fallback>
        </mc:AlternateContent>
      </w:r>
      <w:r w:rsidR="003D6C55">
        <w:rPr>
          <w:rFonts w:hint="eastAsia"/>
          <w:sz w:val="22"/>
          <w:szCs w:val="22"/>
        </w:rPr>
        <w:t>鳥栖基山都市計画特別用途地区の決定（基山町決定）</w:t>
      </w:r>
    </w:p>
    <w:p w:rsidR="00E11D85" w:rsidRDefault="00E11D85">
      <w:pPr>
        <w:rPr>
          <w:sz w:val="22"/>
          <w:szCs w:val="22"/>
        </w:rPr>
      </w:pPr>
    </w:p>
    <w:p w:rsidR="00E11D85" w:rsidRDefault="00E11D85">
      <w:pPr>
        <w:rPr>
          <w:sz w:val="22"/>
          <w:szCs w:val="22"/>
        </w:rPr>
      </w:pPr>
    </w:p>
    <w:p w:rsidR="00E11D85" w:rsidRDefault="00E11D85">
      <w:pPr>
        <w:rPr>
          <w:sz w:val="22"/>
          <w:szCs w:val="22"/>
        </w:rPr>
      </w:pPr>
      <w:r>
        <w:rPr>
          <w:rFonts w:hint="eastAsia"/>
          <w:sz w:val="22"/>
          <w:szCs w:val="22"/>
        </w:rPr>
        <w:t xml:space="preserve">　鳥栖基山都市計画特別用途地区を次のように決定する。</w:t>
      </w:r>
    </w:p>
    <w:tbl>
      <w:tblPr>
        <w:tblStyle w:val="a3"/>
        <w:tblW w:w="0" w:type="auto"/>
        <w:tblLook w:val="04A0" w:firstRow="1" w:lastRow="0" w:firstColumn="1" w:lastColumn="0" w:noHBand="0" w:noVBand="1"/>
      </w:tblPr>
      <w:tblGrid>
        <w:gridCol w:w="2830"/>
        <w:gridCol w:w="1560"/>
        <w:gridCol w:w="4954"/>
      </w:tblGrid>
      <w:tr w:rsidR="00E11D85" w:rsidTr="00E11D85">
        <w:tc>
          <w:tcPr>
            <w:tcW w:w="2830" w:type="dxa"/>
            <w:vAlign w:val="center"/>
          </w:tcPr>
          <w:p w:rsidR="00E11D85" w:rsidRDefault="00E11D85" w:rsidP="00E11D85">
            <w:pPr>
              <w:jc w:val="center"/>
              <w:rPr>
                <w:sz w:val="22"/>
                <w:szCs w:val="22"/>
              </w:rPr>
            </w:pPr>
            <w:r>
              <w:rPr>
                <w:rFonts w:hint="eastAsia"/>
                <w:sz w:val="22"/>
                <w:szCs w:val="22"/>
              </w:rPr>
              <w:t>種</w:t>
            </w:r>
            <w:r w:rsidR="00E7450E">
              <w:rPr>
                <w:rFonts w:hint="eastAsia"/>
                <w:sz w:val="22"/>
                <w:szCs w:val="22"/>
              </w:rPr>
              <w:t xml:space="preserve">　　</w:t>
            </w:r>
            <w:r>
              <w:rPr>
                <w:rFonts w:hint="eastAsia"/>
                <w:sz w:val="22"/>
                <w:szCs w:val="22"/>
              </w:rPr>
              <w:t>類</w:t>
            </w:r>
          </w:p>
        </w:tc>
        <w:tc>
          <w:tcPr>
            <w:tcW w:w="1560" w:type="dxa"/>
            <w:vAlign w:val="center"/>
          </w:tcPr>
          <w:p w:rsidR="00E11D85" w:rsidRDefault="00E11D85" w:rsidP="00E11D85">
            <w:pPr>
              <w:jc w:val="center"/>
              <w:rPr>
                <w:sz w:val="22"/>
                <w:szCs w:val="22"/>
              </w:rPr>
            </w:pPr>
            <w:r>
              <w:rPr>
                <w:rFonts w:hint="eastAsia"/>
                <w:sz w:val="22"/>
                <w:szCs w:val="22"/>
              </w:rPr>
              <w:t>面</w:t>
            </w:r>
            <w:r w:rsidR="00E7450E">
              <w:rPr>
                <w:rFonts w:hint="eastAsia"/>
                <w:sz w:val="22"/>
                <w:szCs w:val="22"/>
              </w:rPr>
              <w:t xml:space="preserve">　</w:t>
            </w:r>
            <w:r>
              <w:rPr>
                <w:rFonts w:hint="eastAsia"/>
                <w:sz w:val="22"/>
                <w:szCs w:val="22"/>
              </w:rPr>
              <w:t>積</w:t>
            </w:r>
          </w:p>
        </w:tc>
        <w:tc>
          <w:tcPr>
            <w:tcW w:w="4954" w:type="dxa"/>
            <w:vAlign w:val="center"/>
          </w:tcPr>
          <w:p w:rsidR="00E11D85" w:rsidRDefault="00E11D85" w:rsidP="00E11D85">
            <w:pPr>
              <w:jc w:val="center"/>
              <w:rPr>
                <w:sz w:val="22"/>
                <w:szCs w:val="22"/>
              </w:rPr>
            </w:pPr>
            <w:r>
              <w:rPr>
                <w:rFonts w:hint="eastAsia"/>
                <w:sz w:val="22"/>
                <w:szCs w:val="22"/>
              </w:rPr>
              <w:t>備</w:t>
            </w:r>
            <w:r w:rsidR="00E7450E">
              <w:rPr>
                <w:rFonts w:hint="eastAsia"/>
                <w:sz w:val="22"/>
                <w:szCs w:val="22"/>
              </w:rPr>
              <w:t xml:space="preserve">　　　</w:t>
            </w:r>
            <w:r>
              <w:rPr>
                <w:rFonts w:hint="eastAsia"/>
                <w:sz w:val="22"/>
                <w:szCs w:val="22"/>
              </w:rPr>
              <w:t>考</w:t>
            </w:r>
          </w:p>
        </w:tc>
      </w:tr>
      <w:tr w:rsidR="00E11D85" w:rsidTr="00E11D85">
        <w:tc>
          <w:tcPr>
            <w:tcW w:w="2830" w:type="dxa"/>
            <w:vAlign w:val="center"/>
          </w:tcPr>
          <w:p w:rsidR="00E11D85" w:rsidRDefault="00E11D85" w:rsidP="00E11D85">
            <w:pPr>
              <w:jc w:val="center"/>
              <w:rPr>
                <w:sz w:val="22"/>
                <w:szCs w:val="22"/>
              </w:rPr>
            </w:pPr>
            <w:r>
              <w:rPr>
                <w:rFonts w:hint="eastAsia"/>
                <w:sz w:val="22"/>
                <w:szCs w:val="22"/>
              </w:rPr>
              <w:t>大規模集客施設制限地区</w:t>
            </w:r>
          </w:p>
        </w:tc>
        <w:tc>
          <w:tcPr>
            <w:tcW w:w="1560" w:type="dxa"/>
            <w:vAlign w:val="center"/>
          </w:tcPr>
          <w:p w:rsidR="00E11D85" w:rsidRDefault="00E11D85" w:rsidP="00E11D85">
            <w:pPr>
              <w:jc w:val="center"/>
              <w:rPr>
                <w:sz w:val="22"/>
                <w:szCs w:val="22"/>
              </w:rPr>
            </w:pPr>
            <w:r>
              <w:rPr>
                <w:rFonts w:hint="eastAsia"/>
                <w:sz w:val="22"/>
                <w:szCs w:val="22"/>
              </w:rPr>
              <w:t>約４７ha</w:t>
            </w:r>
          </w:p>
        </w:tc>
        <w:tc>
          <w:tcPr>
            <w:tcW w:w="4954" w:type="dxa"/>
            <w:vAlign w:val="center"/>
          </w:tcPr>
          <w:p w:rsidR="00E11D85" w:rsidRDefault="00E11D85" w:rsidP="00E11D85">
            <w:pPr>
              <w:rPr>
                <w:sz w:val="22"/>
                <w:szCs w:val="22"/>
              </w:rPr>
            </w:pPr>
            <w:r>
              <w:rPr>
                <w:rFonts w:hint="eastAsia"/>
                <w:sz w:val="22"/>
                <w:szCs w:val="22"/>
              </w:rPr>
              <w:t>鳥栖基山都市計画区域内（基山町域分）の準工業地域全域</w:t>
            </w:r>
          </w:p>
          <w:p w:rsidR="000373DA" w:rsidRDefault="000373DA" w:rsidP="00E11D85">
            <w:pPr>
              <w:rPr>
                <w:sz w:val="22"/>
                <w:szCs w:val="22"/>
              </w:rPr>
            </w:pPr>
          </w:p>
          <w:p w:rsidR="000373DA" w:rsidRDefault="000373DA" w:rsidP="00E11D85">
            <w:pPr>
              <w:rPr>
                <w:sz w:val="22"/>
                <w:szCs w:val="22"/>
              </w:rPr>
            </w:pPr>
            <w:r>
              <w:rPr>
                <w:rFonts w:hint="eastAsia"/>
                <w:sz w:val="22"/>
                <w:szCs w:val="22"/>
              </w:rPr>
              <w:t>（建築してはならない建築物）</w:t>
            </w:r>
          </w:p>
          <w:p w:rsidR="000373DA" w:rsidRDefault="000373DA" w:rsidP="004E4E10">
            <w:pPr>
              <w:rPr>
                <w:sz w:val="22"/>
                <w:szCs w:val="22"/>
              </w:rPr>
            </w:pPr>
            <w:r>
              <w:rPr>
                <w:rFonts w:hint="eastAsia"/>
                <w:sz w:val="22"/>
                <w:szCs w:val="22"/>
              </w:rPr>
              <w:t>劇場、映画館、演芸場若しくは観覧場、ナイトクラブ又は店舗、飲食店、展示場、遊技場、勝馬投票券発売所、場外車券売場その他これに類する用途</w:t>
            </w:r>
            <w:r w:rsidR="004E4E10">
              <w:rPr>
                <w:rFonts w:hint="eastAsia"/>
                <w:sz w:val="22"/>
                <w:szCs w:val="22"/>
              </w:rPr>
              <w:t>に供する建築物でその用途に</w:t>
            </w:r>
            <w:r>
              <w:rPr>
                <w:rFonts w:hint="eastAsia"/>
                <w:sz w:val="22"/>
                <w:szCs w:val="22"/>
              </w:rPr>
              <w:t>供する部分（</w:t>
            </w:r>
            <w:r w:rsidR="009C1E2A">
              <w:rPr>
                <w:rFonts w:hint="eastAsia"/>
                <w:sz w:val="22"/>
                <w:szCs w:val="22"/>
              </w:rPr>
              <w:t>劇場、映画館、演芸場又は観覧場の用途に供する部分であっては、客席の部分に限る。）の床面積の合計が１万平方メートルを超えるもの</w:t>
            </w:r>
          </w:p>
        </w:tc>
      </w:tr>
    </w:tbl>
    <w:p w:rsidR="009C1E2A" w:rsidRDefault="00E7450E">
      <w:pPr>
        <w:rPr>
          <w:sz w:val="22"/>
          <w:szCs w:val="22"/>
        </w:rPr>
      </w:pPr>
      <w:r>
        <w:rPr>
          <w:rFonts w:hint="eastAsia"/>
          <w:sz w:val="22"/>
          <w:szCs w:val="22"/>
        </w:rPr>
        <w:t>「対象区域</w:t>
      </w:r>
      <w:r w:rsidR="00DB38EB">
        <w:rPr>
          <w:rFonts w:hint="eastAsia"/>
          <w:sz w:val="22"/>
          <w:szCs w:val="22"/>
        </w:rPr>
        <w:t>は計画図表示のとおり」</w:t>
      </w:r>
    </w:p>
    <w:p w:rsidR="00DB38EB" w:rsidRDefault="00DB38EB">
      <w:pPr>
        <w:rPr>
          <w:sz w:val="22"/>
          <w:szCs w:val="22"/>
        </w:rPr>
      </w:pPr>
    </w:p>
    <w:p w:rsidR="009C1E2A" w:rsidRDefault="009C1E2A">
      <w:pPr>
        <w:rPr>
          <w:sz w:val="22"/>
          <w:szCs w:val="22"/>
        </w:rPr>
      </w:pPr>
      <w:r>
        <w:rPr>
          <w:rFonts w:hint="eastAsia"/>
          <w:sz w:val="22"/>
          <w:szCs w:val="22"/>
        </w:rPr>
        <w:t>理　由</w:t>
      </w:r>
    </w:p>
    <w:p w:rsidR="0080145A" w:rsidRDefault="009C1E2A">
      <w:pPr>
        <w:rPr>
          <w:sz w:val="22"/>
          <w:szCs w:val="22"/>
        </w:rPr>
      </w:pPr>
      <w:r>
        <w:rPr>
          <w:rFonts w:hint="eastAsia"/>
          <w:sz w:val="22"/>
          <w:szCs w:val="22"/>
        </w:rPr>
        <w:t xml:space="preserve">　</w:t>
      </w:r>
      <w:r w:rsidR="004E4E10">
        <w:rPr>
          <w:rFonts w:hint="eastAsia"/>
          <w:sz w:val="22"/>
          <w:szCs w:val="22"/>
        </w:rPr>
        <w:t>本町では</w:t>
      </w:r>
      <w:r w:rsidR="00BE33D8">
        <w:rPr>
          <w:rFonts w:hint="eastAsia"/>
          <w:sz w:val="22"/>
          <w:szCs w:val="22"/>
        </w:rPr>
        <w:t>超高齢社会を見据え、高齢者を含む多くの人が</w:t>
      </w:r>
      <w:r w:rsidR="00D7592A">
        <w:rPr>
          <w:rFonts w:hint="eastAsia"/>
          <w:sz w:val="22"/>
          <w:szCs w:val="22"/>
        </w:rPr>
        <w:t>安全で快適に</w:t>
      </w:r>
      <w:r w:rsidR="00BE33D8">
        <w:rPr>
          <w:rFonts w:hint="eastAsia"/>
          <w:sz w:val="22"/>
          <w:szCs w:val="22"/>
        </w:rPr>
        <w:t>暮らせる</w:t>
      </w:r>
      <w:r w:rsidR="00D7592A">
        <w:rPr>
          <w:rFonts w:hint="eastAsia"/>
          <w:sz w:val="22"/>
          <w:szCs w:val="22"/>
        </w:rPr>
        <w:t>「住みたいまち基山の創造」</w:t>
      </w:r>
      <w:r w:rsidR="00BE33D8">
        <w:rPr>
          <w:rFonts w:hint="eastAsia"/>
          <w:sz w:val="22"/>
          <w:szCs w:val="22"/>
        </w:rPr>
        <w:t>を</w:t>
      </w:r>
      <w:r w:rsidR="00D7592A">
        <w:rPr>
          <w:rFonts w:hint="eastAsia"/>
          <w:sz w:val="22"/>
          <w:szCs w:val="22"/>
        </w:rPr>
        <w:t>基本に、中心市街地などへの都市機能の集積によるコンパクトな</w:t>
      </w:r>
      <w:r w:rsidR="007961A0">
        <w:rPr>
          <w:rFonts w:hint="eastAsia"/>
          <w:sz w:val="22"/>
          <w:szCs w:val="22"/>
        </w:rPr>
        <w:t>賑わいあふれる</w:t>
      </w:r>
      <w:r w:rsidR="00D7592A">
        <w:rPr>
          <w:rFonts w:hint="eastAsia"/>
          <w:sz w:val="22"/>
          <w:szCs w:val="22"/>
        </w:rPr>
        <w:t>まちづくりを目指しています。</w:t>
      </w:r>
    </w:p>
    <w:p w:rsidR="00F75165" w:rsidRPr="00E11D85" w:rsidRDefault="00D7592A" w:rsidP="00D7592A">
      <w:pPr>
        <w:ind w:firstLineChars="100" w:firstLine="213"/>
        <w:rPr>
          <w:sz w:val="22"/>
          <w:szCs w:val="22"/>
        </w:rPr>
      </w:pPr>
      <w:r>
        <w:rPr>
          <w:rFonts w:hint="eastAsia"/>
          <w:sz w:val="22"/>
          <w:szCs w:val="22"/>
        </w:rPr>
        <w:t>そのため、</w:t>
      </w:r>
      <w:r w:rsidR="00F75165">
        <w:rPr>
          <w:rFonts w:hint="eastAsia"/>
          <w:sz w:val="22"/>
          <w:szCs w:val="22"/>
        </w:rPr>
        <w:t>広域的に都市機能やインフラに大きな影響を及ぼす大規模集客施設について、鳥栖基山都市計画区域内の基山町の準工業地域全域において、その立地を制限する特別用途地区（大規模集客施設制限地区）を都市計画に定めるものです。</w:t>
      </w:r>
    </w:p>
    <w:sectPr w:rsidR="00F75165" w:rsidRPr="00E11D85" w:rsidSect="005C7C6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18" w:header="851" w:footer="992" w:gutter="0"/>
      <w:cols w:space="425"/>
      <w:docGrid w:type="linesAndChars" w:linePitch="388"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C9" w:rsidRDefault="004D7FC9" w:rsidP="00E7450E">
      <w:r>
        <w:separator/>
      </w:r>
    </w:p>
  </w:endnote>
  <w:endnote w:type="continuationSeparator" w:id="0">
    <w:p w:rsidR="004D7FC9" w:rsidRDefault="004D7FC9" w:rsidP="00E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0" w:rsidRDefault="000518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0" w:rsidRPr="00051880" w:rsidRDefault="00051880" w:rsidP="00051880">
    <w:pPr>
      <w:pStyle w:val="a6"/>
      <w:jc w:val="right"/>
      <w:rPr>
        <w:rFonts w:asciiTheme="majorEastAsia" w:eastAsiaTheme="majorEastAsia" w:hAnsiTheme="majorEastAsia" w:hint="eastAsia"/>
        <w:sz w:val="28"/>
        <w:szCs w:val="28"/>
      </w:rPr>
    </w:pPr>
    <w:bookmarkStart w:id="0" w:name="_GoBack"/>
    <w:r w:rsidRPr="00051880">
      <w:rPr>
        <w:rFonts w:asciiTheme="majorEastAsia" w:eastAsiaTheme="majorEastAsia" w:hAnsiTheme="majorEastAsia" w:hint="eastAsia"/>
        <w:sz w:val="28"/>
        <w:szCs w:val="28"/>
      </w:rPr>
      <w:t>２</w:t>
    </w:r>
  </w:p>
  <w:bookmarkEnd w:id="0"/>
  <w:p w:rsidR="00051880" w:rsidRDefault="000518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0" w:rsidRDefault="000518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C9" w:rsidRDefault="004D7FC9" w:rsidP="00E7450E">
      <w:r>
        <w:separator/>
      </w:r>
    </w:p>
  </w:footnote>
  <w:footnote w:type="continuationSeparator" w:id="0">
    <w:p w:rsidR="004D7FC9" w:rsidRDefault="004D7FC9" w:rsidP="00E7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0" w:rsidRDefault="000518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0" w:rsidRDefault="000518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0" w:rsidRDefault="000518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AA"/>
    <w:rsid w:val="000373DA"/>
    <w:rsid w:val="00051880"/>
    <w:rsid w:val="003D6C55"/>
    <w:rsid w:val="004D7FC9"/>
    <w:rsid w:val="004E4E10"/>
    <w:rsid w:val="005C7C6D"/>
    <w:rsid w:val="00612753"/>
    <w:rsid w:val="006246AA"/>
    <w:rsid w:val="007010EF"/>
    <w:rsid w:val="007961A0"/>
    <w:rsid w:val="0080145A"/>
    <w:rsid w:val="008636B8"/>
    <w:rsid w:val="008D3B1A"/>
    <w:rsid w:val="009C1E2A"/>
    <w:rsid w:val="00AC7198"/>
    <w:rsid w:val="00BB51AD"/>
    <w:rsid w:val="00BE33D8"/>
    <w:rsid w:val="00C67CDC"/>
    <w:rsid w:val="00C86086"/>
    <w:rsid w:val="00CB4463"/>
    <w:rsid w:val="00D7592A"/>
    <w:rsid w:val="00DB38EB"/>
    <w:rsid w:val="00DD3DCA"/>
    <w:rsid w:val="00E11D85"/>
    <w:rsid w:val="00E7450E"/>
    <w:rsid w:val="00F7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502D87E-FAF1-4BC4-B7AA-FE13FD84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Century"/>
        <w:spacing w:val="-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50E"/>
    <w:pPr>
      <w:tabs>
        <w:tab w:val="center" w:pos="4252"/>
        <w:tab w:val="right" w:pos="8504"/>
      </w:tabs>
      <w:snapToGrid w:val="0"/>
    </w:pPr>
  </w:style>
  <w:style w:type="character" w:customStyle="1" w:styleId="a5">
    <w:name w:val="ヘッダー (文字)"/>
    <w:basedOn w:val="a0"/>
    <w:link w:val="a4"/>
    <w:uiPriority w:val="99"/>
    <w:rsid w:val="00E7450E"/>
  </w:style>
  <w:style w:type="paragraph" w:styleId="a6">
    <w:name w:val="footer"/>
    <w:basedOn w:val="a"/>
    <w:link w:val="a7"/>
    <w:uiPriority w:val="99"/>
    <w:unhideWhenUsed/>
    <w:rsid w:val="00E7450E"/>
    <w:pPr>
      <w:tabs>
        <w:tab w:val="center" w:pos="4252"/>
        <w:tab w:val="right" w:pos="8504"/>
      </w:tabs>
      <w:snapToGrid w:val="0"/>
    </w:pPr>
  </w:style>
  <w:style w:type="character" w:customStyle="1" w:styleId="a7">
    <w:name w:val="フッター (文字)"/>
    <w:basedOn w:val="a0"/>
    <w:link w:val="a6"/>
    <w:uiPriority w:val="99"/>
    <w:rsid w:val="00E7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